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368472">
      <w:pPr>
        <w:rPr>
          <w:rFonts w:hint="eastAsia" w:ascii="黑体" w:hAnsi="黑体" w:eastAsia="黑体" w:cs="仿宋"/>
          <w:sz w:val="32"/>
          <w:szCs w:val="32"/>
          <w:lang w:val="en-US" w:eastAsia="zh-CN"/>
        </w:rPr>
      </w:pPr>
      <w:bookmarkStart w:id="0" w:name="_GoBack"/>
      <w:bookmarkEnd w:id="0"/>
      <w:r>
        <w:rPr>
          <w:rFonts w:hint="eastAsia" w:ascii="黑体" w:hAnsi="黑体" w:eastAsia="黑体" w:cs="仿宋"/>
          <w:sz w:val="32"/>
          <w:szCs w:val="32"/>
          <w:lang w:eastAsia="zh-CN"/>
        </w:rPr>
        <w:t>附件</w:t>
      </w:r>
      <w:r>
        <w:rPr>
          <w:rFonts w:hint="eastAsia" w:ascii="黑体" w:hAnsi="黑体" w:eastAsia="黑体" w:cs="仿宋"/>
          <w:sz w:val="32"/>
          <w:szCs w:val="32"/>
          <w:lang w:val="en-US" w:eastAsia="zh-CN"/>
        </w:rPr>
        <w:t>4</w:t>
      </w:r>
    </w:p>
    <w:p w14:paraId="1D066B8B">
      <w:pPr>
        <w:rPr>
          <w:rFonts w:hint="eastAsia" w:ascii="黑体" w:hAnsi="黑体" w:eastAsia="黑体" w:cs="仿宋"/>
          <w:sz w:val="32"/>
          <w:szCs w:val="32"/>
          <w:lang w:val="en-US" w:eastAsia="zh-CN"/>
        </w:rPr>
      </w:pPr>
    </w:p>
    <w:p w14:paraId="57BB3764">
      <w:pPr>
        <w:rPr>
          <w:rFonts w:hint="eastAsia" w:ascii="黑体" w:hAnsi="黑体" w:eastAsia="黑体" w:cs="仿宋"/>
          <w:sz w:val="32"/>
          <w:szCs w:val="32"/>
          <w:lang w:val="en-US" w:eastAsia="zh-CN"/>
        </w:rPr>
      </w:pPr>
    </w:p>
    <w:p w14:paraId="1F62AAFF">
      <w:pPr>
        <w:rPr>
          <w:rFonts w:hint="eastAsia" w:ascii="黑体" w:hAnsi="黑体" w:eastAsia="黑体" w:cs="仿宋"/>
          <w:sz w:val="32"/>
          <w:szCs w:val="32"/>
          <w:lang w:val="en-US" w:eastAsia="zh-CN"/>
        </w:rPr>
      </w:pPr>
    </w:p>
    <w:p w14:paraId="1BB9B55C">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微软雅黑" w:hAnsi="微软雅黑" w:eastAsia="微软雅黑" w:cs="微软雅黑"/>
          <w:sz w:val="52"/>
          <w:szCs w:val="52"/>
          <w:lang w:eastAsia="zh-CN"/>
        </w:rPr>
      </w:pPr>
      <w:r>
        <w:rPr>
          <w:rFonts w:hint="eastAsia" w:ascii="微软雅黑" w:hAnsi="微软雅黑" w:eastAsia="微软雅黑" w:cs="微软雅黑"/>
          <w:sz w:val="52"/>
          <w:szCs w:val="52"/>
          <w:lang w:val="en-US" w:eastAsia="zh-CN"/>
        </w:rPr>
        <w:t>2024年度中共安化县委机构编制委员会办公室</w:t>
      </w:r>
      <w:r>
        <w:rPr>
          <w:rFonts w:hint="eastAsia" w:ascii="微软雅黑" w:hAnsi="微软雅黑" w:eastAsia="微软雅黑" w:cs="微软雅黑"/>
          <w:sz w:val="52"/>
          <w:szCs w:val="52"/>
        </w:rPr>
        <w:t>整体支出</w:t>
      </w:r>
      <w:r>
        <w:rPr>
          <w:rFonts w:hint="eastAsia" w:ascii="微软雅黑" w:hAnsi="微软雅黑" w:eastAsia="微软雅黑" w:cs="微软雅黑"/>
          <w:sz w:val="52"/>
          <w:szCs w:val="52"/>
          <w:lang w:eastAsia="zh-CN"/>
        </w:rPr>
        <w:t>绩效自评报告</w:t>
      </w:r>
    </w:p>
    <w:p w14:paraId="259CC34B">
      <w:pPr>
        <w:widowControl/>
        <w:ind w:firstLine="361" w:firstLineChars="100"/>
        <w:rPr>
          <w:rFonts w:ascii="楷体" w:hAnsi="楷体" w:eastAsia="楷体" w:cs="楷体"/>
          <w:b/>
          <w:bCs/>
          <w:kern w:val="0"/>
          <w:sz w:val="36"/>
          <w:szCs w:val="36"/>
        </w:rPr>
      </w:pPr>
    </w:p>
    <w:p w14:paraId="40A63115"/>
    <w:p w14:paraId="23DC1C5C">
      <w:pPr>
        <w:rPr>
          <w:rFonts w:ascii="楷体" w:hAnsi="楷体" w:eastAsia="楷体" w:cs="楷体"/>
          <w:b/>
          <w:bCs/>
          <w:kern w:val="0"/>
          <w:sz w:val="36"/>
          <w:szCs w:val="36"/>
        </w:rPr>
      </w:pPr>
    </w:p>
    <w:p w14:paraId="1FCF5A19">
      <w:pPr>
        <w:rPr>
          <w:rFonts w:ascii="楷体" w:hAnsi="楷体" w:eastAsia="楷体" w:cs="楷体"/>
          <w:b/>
          <w:bCs/>
          <w:kern w:val="0"/>
          <w:sz w:val="36"/>
          <w:szCs w:val="36"/>
        </w:rPr>
      </w:pPr>
    </w:p>
    <w:p w14:paraId="4BA370F2">
      <w:pPr>
        <w:rPr>
          <w:rFonts w:ascii="楷体" w:hAnsi="楷体" w:eastAsia="楷体" w:cs="楷体"/>
          <w:b/>
          <w:bCs/>
          <w:kern w:val="0"/>
          <w:sz w:val="36"/>
          <w:szCs w:val="36"/>
        </w:rPr>
      </w:pPr>
    </w:p>
    <w:p w14:paraId="23F8E7A8">
      <w:pPr>
        <w:rPr>
          <w:rFonts w:ascii="楷体" w:hAnsi="楷体" w:eastAsia="楷体" w:cs="楷体"/>
          <w:b/>
          <w:bCs/>
          <w:kern w:val="0"/>
          <w:sz w:val="36"/>
          <w:szCs w:val="36"/>
        </w:rPr>
      </w:pPr>
    </w:p>
    <w:p w14:paraId="3427B930">
      <w:pPr>
        <w:pStyle w:val="2"/>
      </w:pPr>
    </w:p>
    <w:p w14:paraId="311F1E4D">
      <w:pPr>
        <w:widowControl/>
        <w:ind w:firstLine="361" w:firstLineChars="100"/>
        <w:rPr>
          <w:rFonts w:hint="eastAsia" w:ascii="楷体" w:hAnsi="楷体" w:eastAsia="楷体" w:cs="楷体"/>
          <w:b/>
          <w:bCs/>
          <w:kern w:val="0"/>
          <w:sz w:val="36"/>
          <w:szCs w:val="36"/>
        </w:rPr>
      </w:pPr>
    </w:p>
    <w:p w14:paraId="7D7DCF73">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rPr>
        <w:t xml:space="preserve">               </w:t>
      </w:r>
    </w:p>
    <w:p w14:paraId="70454183">
      <w:pPr>
        <w:widowControl/>
        <w:rPr>
          <w:rFonts w:hint="eastAsia" w:ascii="黑体" w:hAnsi="黑体" w:eastAsia="黑体" w:cs="黑体"/>
          <w:b w:val="0"/>
          <w:bCs w:val="0"/>
          <w:kern w:val="0"/>
          <w:sz w:val="48"/>
          <w:szCs w:val="48"/>
          <w:u w:val="single"/>
        </w:rPr>
      </w:pPr>
    </w:p>
    <w:p w14:paraId="364D5A88">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 xml:space="preserve">年 </w:t>
      </w:r>
      <w:r>
        <w:rPr>
          <w:rFonts w:hint="eastAsia" w:ascii="黑体" w:hAnsi="黑体" w:eastAsia="黑体" w:cs="黑体"/>
          <w:b w:val="0"/>
          <w:bCs w:val="0"/>
          <w:kern w:val="0"/>
          <w:sz w:val="36"/>
          <w:szCs w:val="36"/>
          <w:lang w:val="en-US" w:eastAsia="zh-CN"/>
        </w:rPr>
        <w:t>04</w:t>
      </w:r>
      <w:r>
        <w:rPr>
          <w:rFonts w:hint="eastAsia" w:ascii="黑体" w:hAnsi="黑体" w:eastAsia="黑体" w:cs="黑体"/>
          <w:b w:val="0"/>
          <w:bCs w:val="0"/>
          <w:kern w:val="0"/>
          <w:sz w:val="36"/>
          <w:szCs w:val="36"/>
        </w:rPr>
        <w:t xml:space="preserve"> 月 </w:t>
      </w:r>
      <w:r>
        <w:rPr>
          <w:rFonts w:hint="eastAsia" w:ascii="黑体" w:hAnsi="黑体" w:eastAsia="黑体" w:cs="黑体"/>
          <w:b w:val="0"/>
          <w:bCs w:val="0"/>
          <w:kern w:val="0"/>
          <w:sz w:val="36"/>
          <w:szCs w:val="36"/>
          <w:lang w:val="en-US" w:eastAsia="zh-CN"/>
        </w:rPr>
        <w:t>19</w:t>
      </w:r>
      <w:r>
        <w:rPr>
          <w:rFonts w:hint="eastAsia" w:ascii="黑体" w:hAnsi="黑体" w:eastAsia="黑体" w:cs="黑体"/>
          <w:b w:val="0"/>
          <w:bCs w:val="0"/>
          <w:kern w:val="0"/>
          <w:sz w:val="36"/>
          <w:szCs w:val="36"/>
        </w:rPr>
        <w:t xml:space="preserve"> 日</w:t>
      </w:r>
    </w:p>
    <w:p w14:paraId="7186672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lang w:val="en-US" w:eastAsia="zh-CN"/>
        </w:rPr>
      </w:pPr>
      <w:r>
        <w:rPr>
          <w:rFonts w:hint="eastAsia" w:ascii="黑体" w:hAnsi="黑体" w:eastAsia="黑体" w:cs="仿宋"/>
          <w:kern w:val="0"/>
          <w:sz w:val="32"/>
          <w:szCs w:val="32"/>
        </w:rPr>
        <w:br w:type="page"/>
      </w:r>
    </w:p>
    <w:p w14:paraId="25A9E63E">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微软雅黑" w:hAnsi="仿宋" w:eastAsia="微软雅黑" w:cs="宋体"/>
          <w:b w:val="0"/>
          <w:bCs/>
          <w:kern w:val="0"/>
          <w:sz w:val="44"/>
          <w:szCs w:val="44"/>
        </w:rPr>
      </w:pPr>
      <w:r>
        <w:rPr>
          <w:rFonts w:hint="eastAsia" w:ascii="微软雅黑" w:hAnsi="仿宋" w:eastAsia="微软雅黑" w:cs="宋体"/>
          <w:b w:val="0"/>
          <w:bCs/>
          <w:kern w:val="0"/>
          <w:sz w:val="44"/>
          <w:szCs w:val="44"/>
          <w:lang w:val="en-US" w:eastAsia="zh-CN"/>
        </w:rPr>
        <w:t>2024</w:t>
      </w:r>
      <w:r>
        <w:rPr>
          <w:rFonts w:hint="eastAsia" w:ascii="微软雅黑" w:hAnsi="仿宋" w:eastAsia="微软雅黑" w:cs="宋体"/>
          <w:b w:val="0"/>
          <w:bCs/>
          <w:kern w:val="0"/>
          <w:sz w:val="44"/>
          <w:szCs w:val="44"/>
        </w:rPr>
        <w:t>年度</w:t>
      </w:r>
      <w:r>
        <w:rPr>
          <w:rFonts w:hint="eastAsia" w:ascii="微软雅黑" w:hAnsi="仿宋" w:eastAsia="微软雅黑" w:cs="宋体"/>
          <w:b w:val="0"/>
          <w:bCs/>
          <w:kern w:val="0"/>
          <w:sz w:val="44"/>
          <w:szCs w:val="44"/>
          <w:lang w:val="en-US" w:eastAsia="zh-CN"/>
        </w:rPr>
        <w:t>中共安化县委机构编制委员会办公室</w:t>
      </w:r>
      <w:r>
        <w:rPr>
          <w:rFonts w:hint="eastAsia" w:ascii="微软雅黑" w:hAnsi="仿宋" w:eastAsia="微软雅黑" w:cs="宋体"/>
          <w:b w:val="0"/>
          <w:bCs/>
          <w:kern w:val="0"/>
          <w:sz w:val="44"/>
          <w:szCs w:val="44"/>
        </w:rPr>
        <w:t>整体支出绩效自评报告</w:t>
      </w:r>
    </w:p>
    <w:p w14:paraId="206A688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一、部门(单位)基本情况</w:t>
      </w:r>
    </w:p>
    <w:p w14:paraId="20C11F4E">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(一)202</w:t>
      </w:r>
      <w:r>
        <w:rPr>
          <w:rFonts w:hint="eastAsia" w:ascii="楷体_GB2312" w:hAnsi="楷体_GB2312" w:eastAsia="楷体_GB2312" w:cs="楷体_GB2312"/>
          <w:color w:val="000000"/>
          <w:kern w:val="0"/>
          <w:sz w:val="32"/>
          <w:szCs w:val="32"/>
          <w:lang w:val="en-US" w:eastAsia="zh-CN"/>
        </w:rPr>
        <w:t>4</w:t>
      </w:r>
      <w:r>
        <w:rPr>
          <w:rFonts w:hint="eastAsia" w:ascii="楷体_GB2312" w:hAnsi="楷体_GB2312" w:eastAsia="楷体_GB2312" w:cs="楷体_GB2312"/>
          <w:color w:val="000000"/>
          <w:kern w:val="0"/>
          <w:sz w:val="32"/>
          <w:szCs w:val="32"/>
        </w:rPr>
        <w:t>年度重点工作</w:t>
      </w:r>
    </w:p>
    <w:p w14:paraId="0CADF9AA">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贯彻执行上级党委、政府关于行政管理体制改革和机构改革及机构编制工作的方针、政策和法律法规；研究拟定全县行政管理体制改革和机构改革及机构编制管理的规定、办法和实施细则，并认真组织实施；统一管理全县各级党政机关、人大、政协机关以及各民主党派、人民团体机关的机构编制工作；检查监督各级机关行政管理体制改革和机构改革方案以及机构编制的执行情况。</w:t>
      </w:r>
    </w:p>
    <w:p w14:paraId="0AB67CC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(二)部门整体支出规模、使用方向、主要内容和涉及范围</w:t>
      </w:r>
    </w:p>
    <w:p w14:paraId="03817F08">
      <w:pPr>
        <w:pStyle w:val="6"/>
        <w:shd w:val="clear" w:color="auto" w:fill="FFFFFF"/>
        <w:spacing w:before="0" w:beforeAutospacing="0" w:after="0" w:afterAutospacing="0" w:line="594" w:lineRule="exact"/>
        <w:ind w:firstLine="640" w:firstLineChars="200"/>
        <w:jc w:val="both"/>
        <w:rPr>
          <w:rFonts w:hint="eastAsia" w:ascii="仿宋" w:hAnsi="仿宋" w:eastAsia="仿宋" w:cs="仿宋"/>
          <w:b w:val="0"/>
          <w:bCs w:val="0"/>
          <w:i w:val="0"/>
          <w:iCs w:val="0"/>
          <w:caps w:val="0"/>
          <w:color w:val="3D3D3D"/>
          <w:spacing w:val="0"/>
          <w:sz w:val="32"/>
          <w:szCs w:val="32"/>
          <w:shd w:val="clear" w:color="auto" w:fill="FFFFFF"/>
        </w:rPr>
      </w:pPr>
      <w:r>
        <w:rPr>
          <w:rFonts w:hint="eastAsia" w:ascii="仿宋" w:hAnsi="仿宋" w:eastAsia="仿宋" w:cs="仿宋"/>
          <w:b w:val="0"/>
          <w:bCs w:val="0"/>
          <w:i w:val="0"/>
          <w:iCs w:val="0"/>
          <w:caps w:val="0"/>
          <w:color w:val="3D3D3D"/>
          <w:spacing w:val="0"/>
          <w:sz w:val="32"/>
          <w:szCs w:val="32"/>
          <w:shd w:val="clear" w:color="auto" w:fill="FFFFFF"/>
          <w:lang w:val="en-US" w:eastAsia="zh-CN"/>
        </w:rPr>
        <w:t>2024年度整体支出总额234.48万元，其中财政拨款收入234.48万元，占总收入的100%。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680679A2">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二、一般公共预算支出情况</w:t>
      </w:r>
    </w:p>
    <w:p w14:paraId="75D3A8CD">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(一)基本支出情况</w:t>
      </w:r>
    </w:p>
    <w:p w14:paraId="33DBFE12">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ascii="仿宋" w:hAnsi="仿宋" w:eastAsia="仿宋" w:cs="Times New Roman"/>
          <w:kern w:val="2"/>
          <w:sz w:val="32"/>
          <w:szCs w:val="24"/>
          <w:u w:val="none"/>
          <w:shd w:val="clear" w:color="auto" w:fill="auto"/>
          <w:lang w:val="en-US" w:eastAsia="zh-CN" w:bidi="ar-SA"/>
        </w:rPr>
      </w:pPr>
      <w:r>
        <w:rPr>
          <w:rFonts w:hint="eastAsia" w:ascii="仿宋" w:hAnsi="仿宋" w:eastAsia="仿宋" w:cs="Times New Roman"/>
          <w:kern w:val="2"/>
          <w:sz w:val="32"/>
          <w:szCs w:val="24"/>
          <w:u w:val="none"/>
          <w:shd w:val="clear" w:color="auto" w:fill="auto"/>
          <w:lang w:val="en-US" w:eastAsia="zh-CN" w:bidi="ar-SA"/>
        </w:rPr>
        <w:t>基本支出152.5万元，是为保障各部门正常运转、完成日常工作任务而发生的各项支出，主要包括工资福利支出134.49万元，商品和服务支出16.3万元，对个人和家庭支出1.7万元。</w:t>
      </w:r>
    </w:p>
    <w:p w14:paraId="7685E5D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“三公”经费支出情况：2024年，“三公”经费完成2.14万元，比上年减少0.24万元，主要原因是：厉行节约严控公用经费</w:t>
      </w:r>
      <w:r>
        <w:rPr>
          <w:rFonts w:hint="eastAsia" w:ascii="仿宋" w:hAnsi="仿宋" w:eastAsia="仿宋"/>
          <w:sz w:val="32"/>
          <w:szCs w:val="24"/>
        </w:rPr>
        <w:t>，公务接待费有所减少，</w:t>
      </w:r>
      <w:r>
        <w:rPr>
          <w:rFonts w:hint="eastAsia" w:ascii="仿宋" w:hAnsi="仿宋" w:eastAsia="仿宋"/>
          <w:sz w:val="32"/>
          <w:szCs w:val="24"/>
          <w:lang w:eastAsia="zh-CN"/>
        </w:rPr>
        <w:t>无公车购置费，</w:t>
      </w:r>
      <w:r>
        <w:rPr>
          <w:rFonts w:hint="eastAsia" w:ascii="仿宋" w:hAnsi="仿宋" w:eastAsia="仿宋"/>
          <w:sz w:val="32"/>
          <w:szCs w:val="24"/>
        </w:rPr>
        <w:t>按照预算指标数列支公务用车运行维护费</w:t>
      </w:r>
      <w:r>
        <w:rPr>
          <w:rFonts w:hint="eastAsia" w:ascii="仿宋" w:hAnsi="仿宋" w:eastAsia="仿宋" w:cs="Times New Roman"/>
          <w:kern w:val="2"/>
          <w:sz w:val="32"/>
          <w:szCs w:val="24"/>
          <w:u w:val="none"/>
          <w:shd w:val="clear" w:color="auto" w:fill="auto"/>
          <w:lang w:val="zh-CN" w:eastAsia="zh-CN" w:bidi="ar-SA"/>
        </w:rPr>
        <w:t>。其中，公务接待费</w:t>
      </w:r>
      <w:r>
        <w:rPr>
          <w:rFonts w:hint="eastAsia" w:ascii="仿宋" w:hAnsi="仿宋" w:eastAsia="仿宋" w:cs="Times New Roman"/>
          <w:kern w:val="2"/>
          <w:sz w:val="32"/>
          <w:szCs w:val="24"/>
          <w:u w:val="none"/>
          <w:shd w:val="clear" w:color="auto" w:fill="auto"/>
          <w:lang w:val="en-US" w:eastAsia="zh-CN" w:bidi="ar-SA"/>
        </w:rPr>
        <w:t>完成2.14万元，比上年减少0.24万元；</w:t>
      </w:r>
      <w:r>
        <w:rPr>
          <w:rFonts w:hint="eastAsia" w:ascii="仿宋" w:hAnsi="仿宋" w:eastAsia="仿宋" w:cs="Times New Roman"/>
          <w:kern w:val="2"/>
          <w:sz w:val="32"/>
          <w:szCs w:val="24"/>
          <w:u w:val="none"/>
          <w:shd w:val="clear" w:color="auto" w:fill="auto"/>
          <w:lang w:val="zh-CN" w:eastAsia="zh-CN" w:bidi="ar-SA"/>
        </w:rPr>
        <w:t>公务用车购置及运行维护费</w:t>
      </w:r>
      <w:r>
        <w:rPr>
          <w:rFonts w:hint="eastAsia" w:ascii="仿宋" w:hAnsi="仿宋" w:eastAsia="仿宋" w:cs="Times New Roman"/>
          <w:kern w:val="2"/>
          <w:sz w:val="32"/>
          <w:szCs w:val="24"/>
          <w:u w:val="none"/>
          <w:shd w:val="clear" w:color="auto" w:fill="auto"/>
          <w:lang w:val="en-US" w:eastAsia="zh-CN" w:bidi="ar-SA"/>
        </w:rPr>
        <w:t>完成0万元，比上年减少0万元</w:t>
      </w:r>
      <w:r>
        <w:rPr>
          <w:rFonts w:hint="eastAsia" w:ascii="仿宋" w:hAnsi="仿宋" w:eastAsia="仿宋" w:cs="Times New Roman"/>
          <w:kern w:val="2"/>
          <w:sz w:val="32"/>
          <w:szCs w:val="24"/>
          <w:u w:val="none"/>
          <w:shd w:val="clear" w:color="auto" w:fill="auto"/>
          <w:lang w:val="zh-CN" w:eastAsia="zh-CN" w:bidi="ar-SA"/>
        </w:rPr>
        <w:t>。</w:t>
      </w:r>
    </w:p>
    <w:p w14:paraId="2D3F4ACB">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(二)项目支出情况</w:t>
      </w:r>
    </w:p>
    <w:p w14:paraId="4914587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firstLine="640" w:firstLineChars="200"/>
        <w:textAlignment w:val="auto"/>
        <w:rPr>
          <w:rFonts w:hint="eastAsia"/>
        </w:rPr>
      </w:pPr>
      <w:r>
        <w:rPr>
          <w:rFonts w:hint="eastAsia" w:ascii="仿宋" w:hAnsi="仿宋" w:eastAsia="仿宋" w:cs="Times New Roman"/>
          <w:kern w:val="2"/>
          <w:sz w:val="32"/>
          <w:szCs w:val="24"/>
          <w:u w:val="none"/>
          <w:shd w:val="clear" w:color="auto" w:fill="auto"/>
          <w:lang w:val="en-US" w:eastAsia="zh-CN" w:bidi="ar-SA"/>
        </w:rPr>
        <w:t>项目支出81.98万元，包含：</w:t>
      </w:r>
      <w:r>
        <w:rPr>
          <w:rFonts w:hint="eastAsia" w:ascii="仿宋_GB2312" w:eastAsia="仿宋_GB2312"/>
          <w:sz w:val="32"/>
          <w:szCs w:val="32"/>
          <w:lang w:eastAsia="zh-CN"/>
        </w:rPr>
        <w:t>业务工作</w:t>
      </w:r>
      <w:r>
        <w:rPr>
          <w:rFonts w:hint="eastAsia" w:ascii="仿宋_GB2312" w:eastAsia="仿宋_GB2312"/>
          <w:sz w:val="32"/>
          <w:szCs w:val="32"/>
        </w:rPr>
        <w:t>经费</w:t>
      </w:r>
      <w:r>
        <w:rPr>
          <w:rFonts w:hint="eastAsia" w:ascii="仿宋_GB2312" w:eastAsia="仿宋_GB2312"/>
          <w:sz w:val="32"/>
          <w:szCs w:val="32"/>
          <w:lang w:eastAsia="zh-CN"/>
        </w:rPr>
        <w:t>以及运行维护经费等。</w:t>
      </w:r>
    </w:p>
    <w:p w14:paraId="75EC8028">
      <w:pPr>
        <w:keepNext w:val="0"/>
        <w:keepLines w:val="0"/>
        <w:pageBreakBefore w:val="0"/>
        <w:widowControl/>
        <w:numPr>
          <w:ilvl w:val="0"/>
          <w:numId w:val="1"/>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政府性基金预算支出情况</w:t>
      </w:r>
    </w:p>
    <w:p w14:paraId="70D39C70">
      <w:pPr>
        <w:ind w:firstLine="640" w:firstLineChars="200"/>
        <w:rPr>
          <w:rFonts w:hint="default" w:eastAsia="仿宋_GB2312"/>
          <w:lang w:val="en-US" w:eastAsia="zh-CN"/>
        </w:rPr>
      </w:pPr>
      <w:r>
        <w:rPr>
          <w:color w:val="232323"/>
          <w:sz w:val="32"/>
          <w:szCs w:val="32"/>
          <w:shd w:val="clear" w:color="auto" w:fill="FFFFFF"/>
        </w:rPr>
        <w:t>202</w:t>
      </w:r>
      <w:r>
        <w:rPr>
          <w:rFonts w:hint="eastAsia"/>
          <w:color w:val="232323"/>
          <w:sz w:val="32"/>
          <w:szCs w:val="32"/>
          <w:shd w:val="clear" w:color="auto" w:fill="FFFFFF"/>
          <w:lang w:val="en-US" w:eastAsia="zh-CN"/>
        </w:rPr>
        <w:t>4</w:t>
      </w:r>
      <w:r>
        <w:rPr>
          <w:rFonts w:hint="eastAsia" w:ascii="仿宋_GB2312" w:eastAsia="仿宋_GB2312" w:cs="仿宋_GB2312"/>
          <w:color w:val="232323"/>
          <w:sz w:val="32"/>
          <w:szCs w:val="32"/>
          <w:shd w:val="clear" w:color="auto" w:fill="FFFFFF"/>
        </w:rPr>
        <w:t>年本部门政府性基金支出预算</w:t>
      </w:r>
      <w:r>
        <w:rPr>
          <w:rFonts w:hint="eastAsia" w:eastAsia="仿宋_GB2312"/>
          <w:color w:val="232323"/>
          <w:sz w:val="32"/>
          <w:szCs w:val="32"/>
          <w:shd w:val="clear" w:color="auto" w:fill="FFFFFF"/>
          <w:lang w:val="en-US" w:eastAsia="zh-CN"/>
        </w:rPr>
        <w:t>0</w:t>
      </w:r>
      <w:r>
        <w:rPr>
          <w:rFonts w:hint="eastAsia" w:ascii="仿宋_GB2312" w:eastAsia="仿宋_GB2312" w:cs="仿宋_GB2312"/>
          <w:color w:val="232323"/>
          <w:sz w:val="32"/>
          <w:szCs w:val="32"/>
          <w:shd w:val="clear" w:color="auto" w:fill="FFFFFF"/>
        </w:rPr>
        <w:t>万元</w:t>
      </w:r>
      <w:r>
        <w:rPr>
          <w:rFonts w:hint="eastAsia" w:ascii="仿宋_GB2312" w:hAnsi="宋体" w:eastAsia="仿宋_GB2312" w:cs="仿宋_GB2312"/>
          <w:color w:val="232323"/>
          <w:sz w:val="32"/>
          <w:szCs w:val="32"/>
          <w:shd w:val="clear" w:color="auto" w:fill="FFFFFF"/>
        </w:rPr>
        <w:t>。</w:t>
      </w:r>
    </w:p>
    <w:p w14:paraId="4146400D">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国有资本经营预算支出情况</w:t>
      </w:r>
    </w:p>
    <w:p w14:paraId="2231DFB3">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本部门无国有资本经营预算的支出。</w:t>
      </w:r>
    </w:p>
    <w:p w14:paraId="4675B08A">
      <w:pPr>
        <w:keepNext w:val="0"/>
        <w:keepLines w:val="0"/>
        <w:pageBreakBefore w:val="0"/>
        <w:widowControl/>
        <w:numPr>
          <w:ilvl w:val="0"/>
          <w:numId w:val="1"/>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社会保险基金预算支出情况</w:t>
      </w:r>
    </w:p>
    <w:p w14:paraId="4D3BC260">
      <w:pPr>
        <w:pStyle w:val="7"/>
        <w:ind w:left="420" w:leftChars="200" w:firstLine="0" w:firstLineChars="0"/>
        <w:rPr>
          <w:rFonts w:hint="eastAsia" w:ascii="黑体" w:hAnsi="黑体" w:eastAsia="黑体" w:cs="宋体"/>
          <w:color w:val="000000"/>
          <w:kern w:val="0"/>
          <w:sz w:val="32"/>
          <w:szCs w:val="32"/>
        </w:rPr>
      </w:pPr>
      <w:r>
        <w:rPr>
          <w:color w:val="232323"/>
          <w:shd w:val="clear" w:color="auto" w:fill="FFFFFF"/>
        </w:rPr>
        <w:t>202</w:t>
      </w:r>
      <w:r>
        <w:rPr>
          <w:rFonts w:hint="eastAsia"/>
          <w:color w:val="232323"/>
          <w:shd w:val="clear" w:color="auto" w:fill="FFFFFF"/>
          <w:lang w:val="en-US" w:eastAsia="zh-CN"/>
        </w:rPr>
        <w:t>4</w:t>
      </w:r>
      <w:r>
        <w:rPr>
          <w:rFonts w:hint="eastAsia" w:ascii="仿宋_GB2312" w:eastAsia="仿宋_GB2312" w:cs="仿宋_GB2312"/>
          <w:color w:val="232323"/>
          <w:shd w:val="clear" w:color="auto" w:fill="FFFFFF"/>
        </w:rPr>
        <w:t>年</w:t>
      </w:r>
      <w:r>
        <w:rPr>
          <w:rFonts w:hint="eastAsia" w:ascii="仿宋_GB2312" w:hAnsi="宋体" w:eastAsia="仿宋_GB2312" w:cs="仿宋_GB2312"/>
          <w:color w:val="232323"/>
          <w:shd w:val="clear" w:color="auto" w:fill="FFFFFF"/>
        </w:rPr>
        <w:t>本部门无社会保险基金预算的支出。</w:t>
      </w:r>
    </w:p>
    <w:p w14:paraId="3CE7EEA8">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六、部门整体支出绩效情况</w:t>
      </w:r>
    </w:p>
    <w:p w14:paraId="38786B0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jc w:val="left"/>
        <w:textAlignment w:val="center"/>
        <w:rPr>
          <w:rFonts w:hint="eastAsia" w:ascii="Times New Roman" w:hAnsi="Times New Roman" w:eastAsia="仿宋_GB2312" w:cs="Times New Roman"/>
          <w:bCs/>
          <w:color w:val="auto"/>
          <w:kern w:val="2"/>
          <w:sz w:val="32"/>
          <w:szCs w:val="32"/>
          <w:highlight w:val="none"/>
          <w:lang w:val="en-US" w:eastAsia="zh-CN" w:bidi="ar-SA"/>
        </w:rPr>
      </w:pPr>
      <w:r>
        <w:rPr>
          <w:rFonts w:hint="eastAsia" w:ascii="Times New Roman" w:hAnsi="Times New Roman" w:eastAsia="仿宋_GB2312" w:cs="Times New Roman"/>
          <w:bCs/>
          <w:color w:val="auto"/>
          <w:kern w:val="2"/>
          <w:sz w:val="32"/>
          <w:szCs w:val="32"/>
          <w:highlight w:val="none"/>
          <w:lang w:val="en-US" w:eastAsia="zh-CN" w:bidi="ar-SA"/>
        </w:rPr>
        <w:t>2024年度支出总额234.48万元，其中基本支出</w:t>
      </w:r>
      <w:r>
        <w:rPr>
          <w:rFonts w:hint="eastAsia" w:ascii="仿宋" w:hAnsi="仿宋" w:eastAsia="仿宋" w:cs="Times New Roman"/>
          <w:kern w:val="2"/>
          <w:sz w:val="32"/>
          <w:szCs w:val="24"/>
          <w:u w:val="none"/>
          <w:shd w:val="clear" w:color="auto" w:fill="auto"/>
          <w:lang w:val="en-US" w:eastAsia="zh-CN" w:bidi="ar-SA"/>
        </w:rPr>
        <w:t>152.5</w:t>
      </w:r>
      <w:r>
        <w:rPr>
          <w:rFonts w:hint="eastAsia" w:ascii="Times New Roman" w:hAnsi="Times New Roman" w:eastAsia="仿宋_GB2312" w:cs="Times New Roman"/>
          <w:bCs/>
          <w:color w:val="auto"/>
          <w:kern w:val="2"/>
          <w:sz w:val="32"/>
          <w:szCs w:val="32"/>
          <w:highlight w:val="none"/>
          <w:lang w:val="en-US" w:eastAsia="zh-CN" w:bidi="ar-SA"/>
        </w:rPr>
        <w:t>万元，基本支出保障了单位正常运转的日常支出，包括基本工资、津贴补贴等人员经费以及办公费、水电费、差旅费等日常公用经费；项目支出金额</w:t>
      </w:r>
      <w:r>
        <w:rPr>
          <w:rFonts w:hint="eastAsia" w:ascii="仿宋" w:hAnsi="仿宋" w:eastAsia="仿宋" w:cs="Times New Roman"/>
          <w:kern w:val="2"/>
          <w:sz w:val="32"/>
          <w:szCs w:val="24"/>
          <w:u w:val="none"/>
          <w:shd w:val="clear" w:color="auto" w:fill="auto"/>
          <w:lang w:val="en-US" w:eastAsia="zh-CN" w:bidi="ar-SA"/>
        </w:rPr>
        <w:t>81.98</w:t>
      </w:r>
      <w:r>
        <w:rPr>
          <w:rFonts w:hint="eastAsia" w:ascii="Times New Roman" w:hAnsi="Times New Roman" w:eastAsia="仿宋_GB2312" w:cs="Times New Roman"/>
          <w:bCs/>
          <w:color w:val="auto"/>
          <w:kern w:val="2"/>
          <w:sz w:val="32"/>
          <w:szCs w:val="32"/>
          <w:highlight w:val="none"/>
          <w:lang w:val="en-US" w:eastAsia="zh-CN" w:bidi="ar-SA"/>
        </w:rPr>
        <w:t>万元，项目支出主要用于</w:t>
      </w:r>
      <w:r>
        <w:rPr>
          <w:rFonts w:hint="eastAsia" w:ascii="仿宋_GB2312" w:hAnsi="仿宋_GB2312" w:eastAsia="仿宋_GB2312" w:cs="仿宋_GB2312"/>
          <w:kern w:val="2"/>
          <w:sz w:val="32"/>
          <w:szCs w:val="32"/>
          <w:lang w:val="en-US" w:eastAsia="zh-CN" w:bidi="ar-SA"/>
        </w:rPr>
        <w:t>基本工资、津贴补贴</w:t>
      </w:r>
      <w:r>
        <w:rPr>
          <w:rFonts w:hint="eastAsia" w:ascii="Times New Roman" w:hAnsi="Times New Roman" w:eastAsia="仿宋_GB2312" w:cs="Times New Roman"/>
          <w:bCs/>
          <w:color w:val="auto"/>
          <w:kern w:val="2"/>
          <w:sz w:val="32"/>
          <w:szCs w:val="32"/>
          <w:highlight w:val="none"/>
          <w:lang w:val="en-US" w:eastAsia="zh-CN" w:bidi="ar-SA"/>
        </w:rPr>
        <w:t>等支出，包括办公费、印刷费、邮电费、差旅费、租赁费、会议费、劳务费及其他对企业补助等。</w:t>
      </w:r>
    </w:p>
    <w:p w14:paraId="562B9CC9">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七、存在的问题及原因分析</w:t>
      </w:r>
    </w:p>
    <w:p w14:paraId="62E653A6">
      <w:pPr>
        <w:keepNext w:val="0"/>
        <w:keepLines w:val="0"/>
        <w:widowControl/>
        <w:suppressLineNumbers w:val="0"/>
        <w:ind w:firstLine="640" w:firstLineChars="200"/>
        <w:jc w:val="left"/>
        <w:rPr>
          <w:kern w:val="0"/>
          <w:szCs w:val="32"/>
        </w:rPr>
      </w:pPr>
      <w:r>
        <w:rPr>
          <w:rFonts w:hint="default" w:ascii="仿宋_GB2312" w:hAnsi="仿宋" w:eastAsia="仿宋_GB2312" w:cs="Times New Roman"/>
          <w:sz w:val="32"/>
          <w:szCs w:val="32"/>
          <w:lang w:val="en-US" w:eastAsia="zh-CN"/>
        </w:rPr>
        <w:t>部门预算的人员经费和公用经费不足。单位日常运转的刚性支出大，现</w:t>
      </w:r>
      <w:r>
        <w:rPr>
          <w:rFonts w:hint="eastAsia" w:ascii="仿宋_GB2312" w:hAnsi="仿宋" w:eastAsia="仿宋_GB2312" w:cs="Times New Roman"/>
          <w:sz w:val="32"/>
          <w:szCs w:val="32"/>
          <w:lang w:val="en-US" w:eastAsia="zh-CN"/>
        </w:rPr>
        <w:t>有的部门预算资金不能满足日益增长的工作需要。</w:t>
      </w:r>
    </w:p>
    <w:p w14:paraId="217F7C80">
      <w:pPr>
        <w:keepNext w:val="0"/>
        <w:keepLines w:val="0"/>
        <w:pageBreakBefore w:val="0"/>
        <w:widowControl/>
        <w:numPr>
          <w:ilvl w:val="0"/>
          <w:numId w:val="2"/>
        </w:numPr>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下一步改进措施</w:t>
      </w:r>
    </w:p>
    <w:p w14:paraId="33625343">
      <w:pPr>
        <w:keepNext w:val="0"/>
        <w:keepLines w:val="0"/>
        <w:widowControl/>
        <w:suppressLineNumbers w:val="0"/>
        <w:ind w:firstLine="640" w:firstLineChars="200"/>
        <w:jc w:val="left"/>
        <w:rPr>
          <w:rFonts w:hint="default" w:ascii="仿宋_GB2312" w:hAnsi="仿宋" w:eastAsia="仿宋_GB2312" w:cs="Times New Roman"/>
          <w:sz w:val="32"/>
          <w:szCs w:val="32"/>
          <w:lang w:val="en-US" w:eastAsia="zh-CN"/>
        </w:rPr>
      </w:pPr>
      <w:r>
        <w:rPr>
          <w:rFonts w:hint="default" w:ascii="仿宋_GB2312" w:hAnsi="仿宋" w:eastAsia="仿宋_GB2312" w:cs="Times New Roman"/>
          <w:sz w:val="32"/>
          <w:szCs w:val="32"/>
          <w:lang w:val="en-US" w:eastAsia="zh-CN"/>
        </w:rPr>
        <w:t>对存在的问题提出切实可行的改进措施和有关建议等。</w:t>
      </w:r>
    </w:p>
    <w:p w14:paraId="696474B6">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1、加强财务管理，严格财务审核。</w:t>
      </w:r>
    </w:p>
    <w:p w14:paraId="047BDF44">
      <w:pPr>
        <w:keepNext w:val="0"/>
        <w:keepLines w:val="0"/>
        <w:widowControl/>
        <w:suppressLineNumbers w:val="0"/>
        <w:ind w:firstLine="640" w:firstLineChars="200"/>
        <w:jc w:val="left"/>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2、对相关人员加强培训，切实提高</w:t>
      </w:r>
      <w:r>
        <w:rPr>
          <w:rFonts w:hint="eastAsia" w:ascii="仿宋_GB2312" w:hAnsi="仿宋" w:cs="Times New Roman"/>
          <w:sz w:val="32"/>
          <w:szCs w:val="32"/>
          <w:lang w:val="en-US" w:eastAsia="zh-CN"/>
        </w:rPr>
        <w:t>财务</w:t>
      </w:r>
      <w:r>
        <w:rPr>
          <w:rFonts w:hint="eastAsia" w:ascii="仿宋_GB2312" w:hAnsi="仿宋" w:eastAsia="仿宋_GB2312" w:cs="Times New Roman"/>
          <w:sz w:val="32"/>
          <w:szCs w:val="32"/>
          <w:lang w:val="en-US" w:eastAsia="zh-CN"/>
        </w:rPr>
        <w:t>人员业务水平。</w:t>
      </w:r>
    </w:p>
    <w:p w14:paraId="1D8E193E">
      <w:pPr>
        <w:keepNext w:val="0"/>
        <w:keepLines w:val="0"/>
        <w:pageBreakBefore w:val="0"/>
        <w:widowControl/>
        <w:numPr>
          <w:ilvl w:val="0"/>
          <w:numId w:val="2"/>
        </w:numPr>
        <w:kinsoku/>
        <w:wordWrap/>
        <w:overflowPunct/>
        <w:topLinePunct w:val="0"/>
        <w:autoSpaceDE/>
        <w:autoSpaceDN/>
        <w:bidi w:val="0"/>
        <w:adjustRightInd/>
        <w:snapToGrid/>
        <w:spacing w:line="576" w:lineRule="exact"/>
        <w:ind w:left="0" w:leftChars="0" w:firstLine="640" w:firstLineChars="200"/>
        <w:jc w:val="left"/>
        <w:textAlignment w:val="auto"/>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绩效自评结果拟应用和公开情况</w:t>
      </w:r>
    </w:p>
    <w:p w14:paraId="3E0F4A5D">
      <w:pPr>
        <w:pStyle w:val="3"/>
        <w:numPr>
          <w:ilvl w:val="0"/>
          <w:numId w:val="0"/>
        </w:numPr>
        <w:ind w:leftChars="200"/>
        <w:rPr>
          <w:rFonts w:hint="eastAsia" w:eastAsia="宋体"/>
          <w:lang w:eastAsia="zh-CN"/>
        </w:rPr>
      </w:pPr>
      <w:r>
        <w:rPr>
          <w:rFonts w:hint="eastAsia" w:eastAsia="仿宋_GB2312" w:cs="Times New Roman"/>
          <w:kern w:val="0"/>
          <w:sz w:val="32"/>
          <w:szCs w:val="32"/>
          <w:lang w:val="en-US" w:eastAsia="zh-CN" w:bidi="ar-SA"/>
        </w:rPr>
        <w:t>暂未公开。</w:t>
      </w:r>
    </w:p>
    <w:p w14:paraId="5AFD5637">
      <w:pPr>
        <w:numPr>
          <w:ilvl w:val="0"/>
          <w:numId w:val="2"/>
        </w:numPr>
        <w:ind w:left="0" w:leftChars="0" w:firstLine="640" w:firstLineChars="200"/>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其他需要说明的情况</w:t>
      </w:r>
    </w:p>
    <w:p w14:paraId="618679C7">
      <w:pPr>
        <w:numPr>
          <w:ilvl w:val="0"/>
          <w:numId w:val="0"/>
        </w:numPr>
        <w:ind w:leftChars="200"/>
      </w:pPr>
      <w:r>
        <w:rPr>
          <w:rFonts w:hint="eastAsia" w:eastAsia="仿宋_GB2312" w:cs="Times New Roman"/>
          <w:kern w:val="0"/>
          <w:sz w:val="32"/>
          <w:szCs w:val="32"/>
          <w:lang w:val="en-US" w:eastAsia="zh-CN" w:bidi="ar-SA"/>
        </w:rPr>
        <w:t>无。</w:t>
      </w:r>
      <w:r>
        <w:rPr>
          <w:rFonts w:eastAsia="Times New Roman"/>
          <w:kern w:val="0"/>
          <w:sz w:val="2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F4109C"/>
    <w:multiLevelType w:val="singleLevel"/>
    <w:tmpl w:val="0DF4109C"/>
    <w:lvl w:ilvl="0" w:tentative="0">
      <w:start w:val="8"/>
      <w:numFmt w:val="chineseCounting"/>
      <w:suff w:val="nothing"/>
      <w:lvlText w:val="%1、"/>
      <w:lvlJc w:val="left"/>
      <w:rPr>
        <w:rFonts w:hint="eastAsia"/>
      </w:rPr>
    </w:lvl>
  </w:abstractNum>
  <w:abstractNum w:abstractNumId="1">
    <w:nsid w:val="7F4048D7"/>
    <w:multiLevelType w:val="singleLevel"/>
    <w:tmpl w:val="7F4048D7"/>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4YmQ5Y2MzMGVhMDY4NDkwNTBhM2FiMTI1OTFmZTEifQ=="/>
  </w:docVars>
  <w:rsids>
    <w:rsidRoot w:val="6D445020"/>
    <w:rsid w:val="074B01AA"/>
    <w:rsid w:val="14FF1319"/>
    <w:rsid w:val="257D691C"/>
    <w:rsid w:val="32633085"/>
    <w:rsid w:val="33357B76"/>
    <w:rsid w:val="368A52E7"/>
    <w:rsid w:val="53246BC3"/>
    <w:rsid w:val="64B56C4A"/>
    <w:rsid w:val="6D445020"/>
    <w:rsid w:val="720A579D"/>
    <w:rsid w:val="7AB6C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99"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99"/>
    <w:pPr>
      <w:spacing w:beforeLines="0" w:afterLines="0"/>
    </w:pPr>
    <w:rPr>
      <w:rFonts w:hint="default"/>
      <w:sz w:val="21"/>
      <w:szCs w:val="24"/>
    </w:rPr>
  </w:style>
  <w:style w:type="paragraph" w:styleId="3">
    <w:name w:val="Body Text"/>
    <w:basedOn w:val="1"/>
    <w:unhideWhenUsed/>
    <w:qFormat/>
    <w:uiPriority w:val="99"/>
    <w:rPr>
      <w:rFonts w:ascii="Times New Roman" w:hAnsi="Times New Roman"/>
    </w:rPr>
  </w:style>
  <w:style w:type="paragraph" w:styleId="4">
    <w:name w:val="Body Text Indent"/>
    <w:basedOn w:val="1"/>
    <w:qFormat/>
    <w:uiPriority w:val="99"/>
    <w:pPr>
      <w:ind w:firstLine="640" w:firstLineChars="200"/>
    </w:pPr>
    <w:rPr>
      <w:sz w:val="32"/>
      <w:szCs w:val="32"/>
    </w:rPr>
  </w:style>
  <w:style w:type="paragraph" w:styleId="5">
    <w:name w:val="toc 5"/>
    <w:basedOn w:val="1"/>
    <w:next w:val="1"/>
    <w:unhideWhenUsed/>
    <w:qFormat/>
    <w:uiPriority w:val="39"/>
    <w:pPr>
      <w:ind w:left="1680" w:leftChars="800"/>
    </w:pPr>
    <w:rPr>
      <w:rFonts w:ascii="等线" w:hAnsi="等线" w:eastAsia="等线" w:cs="Times New Roman"/>
      <w:szCs w:val="22"/>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7">
    <w:name w:val="Body Text First Indent 2"/>
    <w:basedOn w:val="4"/>
    <w:qFormat/>
    <w:uiPriority w:val="99"/>
    <w:pPr>
      <w:ind w:firstLine="420"/>
    </w:pPr>
  </w:style>
  <w:style w:type="character" w:styleId="10">
    <w:name w:val="Strong"/>
    <w:basedOn w:val="9"/>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1227</Words>
  <Characters>1313</Characters>
  <Lines>0</Lines>
  <Paragraphs>0</Paragraphs>
  <TotalTime>5</TotalTime>
  <ScaleCrop>false</ScaleCrop>
  <LinksUpToDate>false</LinksUpToDate>
  <CharactersWithSpaces>1332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2024-06-17T18:01:00Z</dcterms:created>
  <dc:creator>啊斌</dc:creator>
  <cp:lastModifiedBy>lenovo</cp:lastModifiedBy>
  <dcterms:modified xsi:type="dcterms:W3CDTF">2025-10-30T08:51:37Z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379EC07B99554D9D99B602696804F226_43</vt:lpwstr>
  </property>
  <property fmtid="{D5CDD505-2E9C-101B-9397-08002B2CF9AE}" pid="4" name="KSOTemplateDocerSaveRecord">
    <vt:lpwstr>eyJoZGlkIjoiOTI4YmQ5Y2MzMGVhMDY4NDkwNTBhM2FiMTI1OTFmZTEiLCJ1c2VySWQiOiIyMDUwMzE0MDYifQ==</vt:lpwstr>
  </property>
</Properties>
</file>